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80DA" w14:textId="77777777" w:rsidR="00511A0C" w:rsidRDefault="00DF35E1">
      <w:pPr>
        <w:pStyle w:val="BodyText"/>
        <w:snapToGrid w:val="0"/>
        <w:spacing w:line="440" w:lineRule="exact"/>
        <w:jc w:val="center"/>
        <w:rPr>
          <w:rStyle w:val="15"/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DCA9A8" wp14:editId="18C57E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80835" cy="917575"/>
            <wp:effectExtent l="0" t="0" r="5715" b="0"/>
            <wp:wrapThrough wrapText="bothSides">
              <wp:wrapPolygon edited="0">
                <wp:start x="0" y="0"/>
                <wp:lineTo x="0" y="21077"/>
                <wp:lineTo x="21557" y="21077"/>
                <wp:lineTo x="21557" y="0"/>
                <wp:lineTo x="0" y="0"/>
              </wp:wrapPolygon>
            </wp:wrapThrough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0"/>
                    <a:stretch>
                      <a:fillRect/>
                    </a:stretch>
                  </pic:blipFill>
                  <pic:spPr>
                    <a:xfrm>
                      <a:off x="0" y="0"/>
                      <a:ext cx="668083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ascii="微软雅黑" w:eastAsia="微软雅黑" w:hAnsi="微软雅黑" w:cs="微软雅黑" w:hint="eastAsia"/>
          <w:sz w:val="36"/>
          <w:szCs w:val="36"/>
        </w:rPr>
        <w:t>广东省第二十</w:t>
      </w:r>
      <w:r>
        <w:rPr>
          <w:rStyle w:val="15"/>
          <w:rFonts w:ascii="微软雅黑" w:eastAsia="微软雅黑" w:hAnsi="微软雅黑" w:cs="微软雅黑" w:hint="eastAsia"/>
          <w:sz w:val="36"/>
          <w:szCs w:val="36"/>
        </w:rPr>
        <w:t>五</w:t>
      </w:r>
      <w:r>
        <w:rPr>
          <w:rStyle w:val="15"/>
          <w:rFonts w:ascii="微软雅黑" w:eastAsia="微软雅黑" w:hAnsi="微软雅黑" w:cs="微软雅黑" w:hint="eastAsia"/>
          <w:sz w:val="36"/>
          <w:szCs w:val="36"/>
        </w:rPr>
        <w:t>届“双鱼”乒协杯少儿乒乓球赛</w:t>
      </w:r>
    </w:p>
    <w:p w14:paraId="481D0615" w14:textId="77777777" w:rsidR="00511A0C" w:rsidRDefault="00DF35E1">
      <w:pPr>
        <w:pStyle w:val="BodyText"/>
        <w:snapToGrid w:val="0"/>
        <w:spacing w:line="440" w:lineRule="exact"/>
        <w:jc w:val="center"/>
        <w:rPr>
          <w:rStyle w:val="15"/>
          <w:rFonts w:ascii="微软雅黑" w:eastAsia="微软雅黑" w:hAnsi="微软雅黑" w:cs="微软雅黑"/>
          <w:sz w:val="36"/>
          <w:szCs w:val="36"/>
        </w:rPr>
      </w:pPr>
      <w:r>
        <w:rPr>
          <w:rStyle w:val="15"/>
          <w:rFonts w:ascii="微软雅黑" w:eastAsia="微软雅黑" w:hAnsi="微软雅黑" w:cs="微软雅黑" w:hint="eastAsia"/>
          <w:sz w:val="36"/>
          <w:szCs w:val="36"/>
        </w:rPr>
        <w:t>竞赛规程</w:t>
      </w:r>
    </w:p>
    <w:p w14:paraId="1C7F3A22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一、主办单位：</w:t>
      </w:r>
    </w:p>
    <w:p w14:paraId="57E5F069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广东省乒乓球协会</w:t>
      </w:r>
    </w:p>
    <w:p w14:paraId="2B44BF9E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广东省二沙乒乓球俱乐部</w:t>
      </w:r>
    </w:p>
    <w:p w14:paraId="0777D137" w14:textId="77777777" w:rsidR="00511A0C" w:rsidRDefault="00DF35E1">
      <w:pPr>
        <w:numPr>
          <w:ilvl w:val="0"/>
          <w:numId w:val="1"/>
        </w:numPr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b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sz w:val="32"/>
          <w:szCs w:val="32"/>
        </w:rPr>
        <w:t>承办单位：</w:t>
      </w:r>
    </w:p>
    <w:p w14:paraId="1AA1E308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Fonts w:ascii="仿宋_GB2312" w:eastAsia="仿宋_GB2312" w:hAnsi="仿宋_GB2312" w:cs="仿宋_GB2312"/>
          <w:b w:val="0"/>
          <w:sz w:val="32"/>
          <w:szCs w:val="32"/>
          <w:highlight w:val="yellow"/>
        </w:rPr>
      </w:pPr>
      <w:proofErr w:type="gramStart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广州华享影视文化</w:t>
      </w:r>
      <w:proofErr w:type="gramEnd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发展有限公司</w:t>
      </w:r>
    </w:p>
    <w:p w14:paraId="4F8F5849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、冠名单位：</w:t>
      </w:r>
    </w:p>
    <w:p w14:paraId="493AD311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广州双鱼体育用品集团有限公司</w:t>
      </w:r>
    </w:p>
    <w:p w14:paraId="70C01840" w14:textId="77777777" w:rsidR="00511A0C" w:rsidRDefault="00DF35E1">
      <w:pPr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b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sz w:val="32"/>
          <w:szCs w:val="32"/>
        </w:rPr>
        <w:t>四、</w:t>
      </w:r>
      <w:r>
        <w:rPr>
          <w:rStyle w:val="15"/>
          <w:rFonts w:ascii="仿宋_GB2312" w:eastAsia="仿宋_GB2312" w:hAnsi="仿宋_GB2312" w:cs="仿宋_GB2312" w:hint="eastAsia"/>
          <w:b/>
          <w:sz w:val="32"/>
          <w:szCs w:val="32"/>
        </w:rPr>
        <w:t>支持单位：</w:t>
      </w:r>
    </w:p>
    <w:p w14:paraId="146F50BB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佳兆业体育场馆管理（佛山）有限公司</w:t>
      </w:r>
    </w:p>
    <w:p w14:paraId="0D78C49E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五、协办单位：</w:t>
      </w:r>
    </w:p>
    <w:p w14:paraId="6D1B9B17" w14:textId="77777777" w:rsidR="00511A0C" w:rsidRDefault="00DF35E1">
      <w:pPr>
        <w:pStyle w:val="BodyText"/>
        <w:snapToGrid w:val="0"/>
        <w:spacing w:line="430" w:lineRule="exact"/>
        <w:ind w:leftChars="200" w:left="420" w:firstLineChars="100" w:firstLine="32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广州市花都区乒乓球协会</w:t>
      </w:r>
    </w:p>
    <w:p w14:paraId="5719BC50" w14:textId="77777777" w:rsidR="00511A0C" w:rsidRDefault="00DF35E1">
      <w:pPr>
        <w:pStyle w:val="BodyText"/>
        <w:snapToGrid w:val="0"/>
        <w:spacing w:line="430" w:lineRule="exact"/>
        <w:ind w:leftChars="200" w:left="420" w:firstLineChars="100" w:firstLine="32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广州市花都区明日之</w:t>
      </w:r>
      <w:proofErr w:type="gramStart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星体育</w:t>
      </w:r>
      <w:proofErr w:type="gramEnd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俱乐部</w:t>
      </w:r>
    </w:p>
    <w:p w14:paraId="115A25C1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、竞赛日期：</w:t>
      </w:r>
    </w:p>
    <w:p w14:paraId="4A6704AD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</w:p>
    <w:p w14:paraId="6D2B3716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、竞赛地点：</w:t>
      </w:r>
    </w:p>
    <w:p w14:paraId="2DED49D2" w14:textId="77777777" w:rsidR="00511A0C" w:rsidRDefault="00DF35E1">
      <w:pPr>
        <w:pStyle w:val="a3"/>
        <w:spacing w:line="430" w:lineRule="exact"/>
        <w:ind w:leftChars="45" w:left="94" w:firstLineChars="181" w:firstLine="579"/>
        <w:rPr>
          <w:spacing w:val="7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pacing w:val="7"/>
        </w:rPr>
        <w:t>南海体育中心</w:t>
      </w:r>
    </w:p>
    <w:p w14:paraId="0335B677" w14:textId="77777777" w:rsidR="00511A0C" w:rsidRDefault="00DF35E1">
      <w:pPr>
        <w:pStyle w:val="a3"/>
        <w:spacing w:line="430" w:lineRule="exact"/>
        <w:ind w:leftChars="45" w:left="94" w:firstLineChars="478" w:firstLine="1549"/>
        <w:rPr>
          <w:spacing w:val="7"/>
        </w:rPr>
      </w:pPr>
      <w:r>
        <w:rPr>
          <w:rFonts w:hint="eastAsia"/>
          <w:spacing w:val="7"/>
        </w:rPr>
        <w:t>佛山市南海区狮山镇狮城社区博爱中路</w:t>
      </w:r>
      <w:r>
        <w:rPr>
          <w:rFonts w:hint="eastAsia"/>
          <w:spacing w:val="7"/>
        </w:rPr>
        <w:t>62</w:t>
      </w:r>
      <w:r>
        <w:rPr>
          <w:rFonts w:hint="eastAsia"/>
          <w:spacing w:val="7"/>
        </w:rPr>
        <w:t>号</w:t>
      </w:r>
    </w:p>
    <w:p w14:paraId="3EA5970C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、竞赛项目：</w:t>
      </w:r>
    </w:p>
    <w:p w14:paraId="71A07A74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lastRenderedPageBreak/>
        <w:t>（一）公开组团体</w:t>
      </w:r>
    </w:p>
    <w:p w14:paraId="3486B5D8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、男子甲组团体</w:t>
      </w:r>
    </w:p>
    <w:p w14:paraId="2EFAE321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、男子乙组团体</w:t>
      </w:r>
    </w:p>
    <w:p w14:paraId="69E843A6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、男子丙组团体</w:t>
      </w:r>
    </w:p>
    <w:p w14:paraId="0E782F4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、女子甲组团体</w:t>
      </w:r>
    </w:p>
    <w:p w14:paraId="33BA1620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、女子乙组团体</w:t>
      </w:r>
    </w:p>
    <w:p w14:paraId="04EF9BFA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、女子丙组团体</w:t>
      </w:r>
    </w:p>
    <w:p w14:paraId="773F6AD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（二）公开组男、女子单打</w:t>
      </w:r>
    </w:p>
    <w:p w14:paraId="56F2633D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2BD610B9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4E4C62D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6377F56B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10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0C0EEFA1" w14:textId="77777777" w:rsidR="00511A0C" w:rsidRDefault="00DF35E1">
      <w:pPr>
        <w:pStyle w:val="BodyText"/>
        <w:numPr>
          <w:ilvl w:val="0"/>
          <w:numId w:val="2"/>
        </w:num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9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7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340B9A3A" w14:textId="77777777" w:rsidR="00511A0C" w:rsidRDefault="00DF35E1">
      <w:pPr>
        <w:pStyle w:val="BodyText"/>
        <w:numPr>
          <w:ilvl w:val="0"/>
          <w:numId w:val="2"/>
        </w:num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3C287963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（三）学校组团体</w:t>
      </w:r>
    </w:p>
    <w:p w14:paraId="77C5AE64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、男子甲组团体</w:t>
      </w:r>
    </w:p>
    <w:p w14:paraId="75C033F3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、男子乙组团体</w:t>
      </w:r>
    </w:p>
    <w:p w14:paraId="6995FAC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、男子丙组团体</w:t>
      </w:r>
    </w:p>
    <w:p w14:paraId="39C23D6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、女子甲组团体</w:t>
      </w:r>
    </w:p>
    <w:p w14:paraId="6BBA1FC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、女子乙组团体</w:t>
      </w:r>
    </w:p>
    <w:p w14:paraId="5E614E09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、女子丙组团体</w:t>
      </w:r>
    </w:p>
    <w:p w14:paraId="55FB9326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（四）学校组男、女子单打</w:t>
      </w:r>
    </w:p>
    <w:p w14:paraId="2F48F784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1D4C4D36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lastRenderedPageBreak/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133AC45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10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508A3E00" w14:textId="77777777" w:rsidR="00511A0C" w:rsidRDefault="00DF35E1">
      <w:pPr>
        <w:pStyle w:val="BodyText"/>
        <w:numPr>
          <w:ilvl w:val="0"/>
          <w:numId w:val="3"/>
        </w:num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9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7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62797963" w14:textId="77777777" w:rsidR="00511A0C" w:rsidRDefault="00DF35E1">
      <w:pPr>
        <w:pStyle w:val="BodyText"/>
        <w:numPr>
          <w:ilvl w:val="0"/>
          <w:numId w:val="3"/>
        </w:num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日出生。</w:t>
      </w:r>
    </w:p>
    <w:p w14:paraId="6932C0AD" w14:textId="77777777" w:rsidR="00511A0C" w:rsidRDefault="00DF35E1">
      <w:pPr>
        <w:pStyle w:val="BodyText"/>
        <w:numPr>
          <w:ilvl w:val="0"/>
          <w:numId w:val="3"/>
        </w:num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7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岁组：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9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5B169466" w14:textId="77777777" w:rsidR="00511A0C" w:rsidRDefault="00DF35E1">
      <w:pPr>
        <w:pStyle w:val="BodyText"/>
        <w:snapToGrid w:val="0"/>
        <w:spacing w:line="430" w:lineRule="exact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   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（五）公开组团体赛各组别年龄划分</w:t>
      </w:r>
    </w:p>
    <w:p w14:paraId="0C47E7F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、甲组：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3D99EF0E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、乙组：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5574B22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、丙组：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7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78E308E9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（六）学校组团体赛各组别年龄划分</w:t>
      </w:r>
    </w:p>
    <w:p w14:paraId="38D9B9D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、甲组：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13BA8BC7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、乙组：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769106A4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、丙组：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以后出生。</w:t>
      </w:r>
    </w:p>
    <w:p w14:paraId="34B8A802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、运动员资格</w:t>
      </w:r>
    </w:p>
    <w:p w14:paraId="2B1213E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运动员必须符合以下资格之一方可报名参赛：</w:t>
      </w:r>
    </w:p>
    <w:p w14:paraId="6F91F063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一）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国内户籍适龄运动员，须持本人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有效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第二代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居民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身份证原件参赛。</w:t>
      </w:r>
    </w:p>
    <w:p w14:paraId="4CBFE8A5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（二）香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港、澳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门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籍适龄运动员，须持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有效港澳居民身份证或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港澳居民来往内地通行证原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件参赛；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台湾籍适龄运动员，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须持本人有效中华人民共和国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台湾居民居住证或台湾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居民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来往大陆通行证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原件参赛。</w:t>
      </w:r>
    </w:p>
    <w:p w14:paraId="794CE452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（三）若发现运动员使用虚假证件、冒名顶替等违规行为，大会将取消其参赛资格；情节严重的，移交公安部门处理。</w:t>
      </w:r>
    </w:p>
    <w:p w14:paraId="15E00A96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、报名办法</w:t>
      </w:r>
    </w:p>
    <w:p w14:paraId="4F02EC71" w14:textId="77777777" w:rsidR="00511A0C" w:rsidRDefault="00DF35E1">
      <w:pPr>
        <w:pStyle w:val="BodyText"/>
        <w:snapToGrid w:val="0"/>
        <w:spacing w:line="430" w:lineRule="exact"/>
        <w:ind w:left="63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一）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凡符合运动员参赛资格的体校、学校、社会俱乐部、</w:t>
      </w:r>
    </w:p>
    <w:p w14:paraId="3E357D9F" w14:textId="77777777" w:rsidR="00511A0C" w:rsidRDefault="00DF35E1">
      <w:pPr>
        <w:pStyle w:val="BodyText"/>
        <w:snapToGrid w:val="0"/>
        <w:spacing w:line="430" w:lineRule="exact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lastRenderedPageBreak/>
        <w:t>球会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个人均可组队参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赛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。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 xml:space="preserve">           </w:t>
      </w:r>
    </w:p>
    <w:p w14:paraId="25211D0C" w14:textId="77777777" w:rsidR="00511A0C" w:rsidRDefault="00DF35E1">
      <w:pPr>
        <w:pStyle w:val="BodyText"/>
        <w:snapToGrid w:val="0"/>
        <w:spacing w:line="430" w:lineRule="exact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 xml:space="preserve">    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二）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各参赛单位可</w:t>
      </w:r>
      <w:proofErr w:type="gramStart"/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报领队</w:t>
      </w:r>
      <w:proofErr w:type="gramEnd"/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人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,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教练员每组别男、女各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人，男、女子团体运动员每队报名应不少于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人，且不多于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人，队数不限。</w:t>
      </w:r>
    </w:p>
    <w:p w14:paraId="02641880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三）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凡参加学校组比赛的单位，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应是具有合法办学资质的学校或体校，且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须在《报名表》上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加盖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学校的公章，其参赛队名与学校公章名称必须保持一致方为有效。</w:t>
      </w:r>
    </w:p>
    <w:p w14:paraId="550C906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四）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各俱乐部、球会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以及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未在《报名表》上加盖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公章的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各级学校、体校，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均列入公开组比赛。</w:t>
      </w:r>
    </w:p>
    <w:p w14:paraId="5E0BEE0C" w14:textId="77777777" w:rsidR="00511A0C" w:rsidRDefault="00DF35E1">
      <w:pPr>
        <w:pStyle w:val="BodyText"/>
        <w:snapToGrid w:val="0"/>
        <w:spacing w:line="430" w:lineRule="exact"/>
        <w:ind w:firstLine="66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五）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每名运动员只能参加一个组别（公开组或学校组）和相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年龄组的单打比赛。</w:t>
      </w:r>
    </w:p>
    <w:p w14:paraId="0AB8292A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六）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参加单打比赛的运动员应与团体参赛的组别（公开组或学校组）保持一致，若在团体赛中以小打大，单打比赛应回归本年龄组参加比赛。</w:t>
      </w:r>
    </w:p>
    <w:p w14:paraId="560FEBD3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注：团体赛必须由三人组成，不允许二打三，不允许大打小，允许以小打大。</w:t>
      </w:r>
    </w:p>
    <w:p w14:paraId="3BD6E701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竞赛办法：</w:t>
      </w:r>
    </w:p>
    <w:p w14:paraId="3E68D3AD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（一）所有组别的团体赛均采用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分，三局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两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胜，三场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两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胜制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。</w:t>
      </w:r>
    </w:p>
    <w:p w14:paraId="568D642B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比赛出场顺序如下：</w:t>
      </w:r>
    </w:p>
    <w:p w14:paraId="0948BB0A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第一场（单打）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A 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X</w:t>
      </w:r>
    </w:p>
    <w:p w14:paraId="463C13F2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第二场（双打）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B/C 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Y/Z</w:t>
      </w:r>
    </w:p>
    <w:p w14:paraId="09D6164A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第三场（单打）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B 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—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Y</w:t>
      </w:r>
    </w:p>
    <w:p w14:paraId="7521D38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（二）所有组别团体比赛均分两个阶段进行：第一阶段分组循环赛，第二阶段采用淘汰赛，决出前八名（并列第三名和并列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第五名）。</w:t>
      </w:r>
    </w:p>
    <w:p w14:paraId="2DBC8FD3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lastRenderedPageBreak/>
        <w:t>（三）所有组别的单打比赛均分两个阶段进行：第一阶段分组循环赛，第二阶段采用淘汰赛，决出前八名（并列第三名和并列第五名）。</w:t>
      </w:r>
    </w:p>
    <w:p w14:paraId="35E66AE5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（四）单打比赛全部采用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11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分，三局二胜制。</w:t>
      </w:r>
    </w:p>
    <w:p w14:paraId="639F937A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  <w:highlight w:val="yellow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（五）比赛用球：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双鱼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Win 40+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三星白色乒乓球。</w:t>
      </w:r>
    </w:p>
    <w:p w14:paraId="7BE9A9AD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（六）除特殊规定外，</w:t>
      </w:r>
      <w:r>
        <w:rPr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本次比赛执行中国乒乓球协会最新审定的《乒乓球竞赛规则》。</w:t>
      </w:r>
    </w:p>
    <w:p w14:paraId="4E1F4370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、抽签办法及特殊规定</w:t>
      </w:r>
    </w:p>
    <w:p w14:paraId="206B079E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（一）团体和单打比赛均不设种子，大会不再安排赛前联席会议。第一阶段、第二阶段均采用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电脑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抽签，抽签结果将于赛前在广东省乒乓球协会官方网站公布（网址：</w:t>
      </w:r>
      <w:hyperlink r:id="rId8" w:history="1">
        <w:r>
          <w:rPr>
            <w:rStyle w:val="a6"/>
            <w:rFonts w:ascii="仿宋_GB2312" w:eastAsia="仿宋_GB2312" w:hAnsi="仿宋_GB2312" w:cs="仿宋_GB2312" w:hint="eastAsia"/>
            <w:b w:val="0"/>
            <w:bCs w:val="0"/>
            <w:color w:val="121212"/>
            <w:sz w:val="32"/>
            <w:szCs w:val="32"/>
          </w:rPr>
          <w:t>http://gdtta.cn/</w:t>
        </w:r>
      </w:hyperlink>
      <w:r>
        <w:rPr>
          <w:rStyle w:val="15"/>
          <w:rFonts w:ascii="仿宋_GB2312" w:eastAsia="仿宋_GB2312" w:hAnsi="仿宋_GB2312" w:cs="仿宋_GB2312" w:hint="eastAsia"/>
          <w:b w:val="0"/>
          <w:bCs w:val="0"/>
          <w:color w:val="121212"/>
          <w:sz w:val="32"/>
          <w:szCs w:val="32"/>
        </w:rPr>
        <w:t>），不再制作纸质版本秩序册，请各队领队、教练上网自行下载。</w:t>
      </w:r>
    </w:p>
    <w:p w14:paraId="450FE967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（二）特殊规定：</w:t>
      </w:r>
    </w:p>
    <w:p w14:paraId="0E79E651" w14:textId="77777777" w:rsidR="00511A0C" w:rsidRDefault="00DF35E1">
      <w:pPr>
        <w:spacing w:line="430" w:lineRule="exact"/>
        <w:ind w:leftChars="304" w:left="638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、团体赛中必要时可用两张球台同时比赛，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若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参赛单位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不</w:t>
      </w:r>
    </w:p>
    <w:p w14:paraId="7585795B" w14:textId="77777777" w:rsidR="00511A0C" w:rsidRDefault="00DF35E1">
      <w:pPr>
        <w:spacing w:line="430" w:lineRule="exact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服从裁判长调配，裁判长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有权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按弃权处理。</w:t>
      </w:r>
    </w:p>
    <w:p w14:paraId="1C8D8049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、运动员有违背体育道德行为的将被取消比赛资格。有下列情况之一的按比赛弃权处理：</w:t>
      </w:r>
    </w:p>
    <w:p w14:paraId="7B7F3D78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）未参加赛程规定的该场比赛，则该场弃权；</w:t>
      </w:r>
    </w:p>
    <w:p w14:paraId="5B661356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）拒绝参加主办单位安排的补赛或改期的比赛；</w:t>
      </w:r>
    </w:p>
    <w:p w14:paraId="7600B610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）由于运动员在比赛中出现身体不适，组委会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授权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驻场医务人员根据实际情况终止该场比赛。如该运动员不服从医务人员专业意见，裁判长可按弃权处理；</w:t>
      </w:r>
    </w:p>
    <w:p w14:paraId="14556C44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）拒不服从裁判员判罚，经过裁判长解释后，在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分钟内仍未恢复中断的比赛；</w:t>
      </w:r>
    </w:p>
    <w:p w14:paraId="2C272846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）中途退赛；</w:t>
      </w:r>
    </w:p>
    <w:p w14:paraId="7540C86A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、弃权的处理：</w:t>
      </w:r>
    </w:p>
    <w:p w14:paraId="5155732F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）一方弃权，则另一方胜；</w:t>
      </w:r>
    </w:p>
    <w:p w14:paraId="5630A279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）双方弃权，则双方本场比赛均无成绩，计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分；</w:t>
      </w:r>
    </w:p>
    <w:p w14:paraId="22D5D1FA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kern w:val="0"/>
          <w:sz w:val="32"/>
          <w:szCs w:val="32"/>
        </w:rPr>
        <w:t>、运动队或运动员弃权，裁判长根据实际情况可取消后续比赛的资格和已取得的名次。</w:t>
      </w:r>
    </w:p>
    <w:p w14:paraId="7FE52B60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（三）团体比赛中，由于伤病等自身原因造成团体赛缺员的情况，组委会允许缺员的参赛队继续比赛，但该场比赛无论最后比赛结果如何，</w:t>
      </w:r>
      <w:proofErr w:type="gramStart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缺员队</w:t>
      </w:r>
      <w:proofErr w:type="gramEnd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一方均按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0:2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处理（若比赛双方在同一场比赛中都出现缺员的情况，双方均按弃权处理）。</w:t>
      </w:r>
    </w:p>
    <w:p w14:paraId="15BDEDA0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（四）参加比赛的运动员必须佩戴大会派发的“人名布”，否则不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得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参赛。</w:t>
      </w:r>
    </w:p>
    <w:p w14:paraId="3251CE65" w14:textId="77777777" w:rsidR="00511A0C" w:rsidRDefault="00DF35E1">
      <w:pPr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（五）所有参赛者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对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本人身份，器材以及服装的合法性和规范性负责。且每一场比赛开赛前，主动向临场裁判员出示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合法有效的第二代身份证、港澳居民身份证或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港澳居民来往内地通行证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中华人民共和国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台湾居民居住证或台湾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居民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来往大陆通行证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三者之一的原件，否则不允许参赛。</w:t>
      </w:r>
      <w:r>
        <w:rPr>
          <w:rFonts w:ascii="仿宋_GB2312" w:eastAsia="仿宋_GB2312" w:hAnsi="仿宋_GB2312" w:cs="仿宋_GB2312" w:hint="eastAsia"/>
          <w:bCs/>
          <w:color w:val="121212"/>
          <w:sz w:val="32"/>
          <w:szCs w:val="32"/>
        </w:rPr>
        <w:t>不符合规定的球拍不允许使用（包括破损超过指标的球拍，使用未经国际乒联批准</w:t>
      </w:r>
      <w:proofErr w:type="gramStart"/>
      <w:r>
        <w:rPr>
          <w:rFonts w:ascii="仿宋_GB2312" w:eastAsia="仿宋_GB2312" w:hAnsi="仿宋_GB2312" w:cs="仿宋_GB2312" w:hint="eastAsia"/>
          <w:bCs/>
          <w:color w:val="121212"/>
          <w:sz w:val="32"/>
          <w:szCs w:val="32"/>
        </w:rPr>
        <w:t>的套胶以及</w:t>
      </w:r>
      <w:proofErr w:type="gramEnd"/>
      <w:r>
        <w:rPr>
          <w:rFonts w:ascii="仿宋_GB2312" w:eastAsia="仿宋_GB2312" w:hAnsi="仿宋_GB2312" w:cs="仿宋_GB2312" w:hint="eastAsia"/>
          <w:bCs/>
          <w:color w:val="121212"/>
          <w:sz w:val="32"/>
          <w:szCs w:val="32"/>
        </w:rPr>
        <w:t>经过物理和化学处理过的球拍）如对器材有争议，最后决定权</w:t>
      </w:r>
      <w:r>
        <w:rPr>
          <w:rFonts w:ascii="仿宋_GB2312" w:eastAsia="仿宋_GB2312" w:hAnsi="仿宋_GB2312" w:cs="仿宋_GB2312" w:hint="eastAsia"/>
          <w:bCs/>
          <w:color w:val="121212"/>
          <w:sz w:val="32"/>
          <w:szCs w:val="32"/>
        </w:rPr>
        <w:t>归</w:t>
      </w:r>
      <w:r>
        <w:rPr>
          <w:rFonts w:ascii="仿宋_GB2312" w:eastAsia="仿宋_GB2312" w:hAnsi="仿宋_GB2312" w:cs="仿宋_GB2312" w:hint="eastAsia"/>
          <w:bCs/>
          <w:color w:val="121212"/>
          <w:sz w:val="32"/>
          <w:szCs w:val="32"/>
        </w:rPr>
        <w:t>裁判长。</w:t>
      </w:r>
    </w:p>
    <w:p w14:paraId="0767C62C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Style w:val="15"/>
          <w:rFonts w:ascii="仿宋_GB2312" w:eastAsia="仿宋_GB2312" w:hAnsi="仿宋_GB2312" w:cs="仿宋_GB2312" w:hint="eastAsia"/>
          <w:sz w:val="32"/>
          <w:szCs w:val="32"/>
        </w:rPr>
        <w:t>录取名次及奖励：</w:t>
      </w:r>
    </w:p>
    <w:p w14:paraId="332A326B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（一）获得各组别男、女子团体前八名（并列第三名和并列第五名）的参赛队，均获得奖杯、奖牌和证书。</w:t>
      </w:r>
    </w:p>
    <w:p w14:paraId="74DD01B1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（二）获得各组男、女子单打前八名（并列第三名和并列第五名）的运动员，均获得奖牌和证书。</w:t>
      </w:r>
    </w:p>
    <w:p w14:paraId="5D96E6CC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（三）领奖方式：</w:t>
      </w:r>
    </w:p>
    <w:p w14:paraId="012117ED" w14:textId="77777777" w:rsidR="00511A0C" w:rsidRDefault="00DF35E1">
      <w:pPr>
        <w:pStyle w:val="BodyText"/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、团体领奖，凡获得各组团体比赛前八名的参赛队伍，由教练员集中运动员的身份证到大会指定的位置领奖（</w:t>
      </w:r>
      <w:proofErr w:type="gramStart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不</w:t>
      </w:r>
      <w:proofErr w:type="gramEnd"/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单列发奖）。</w:t>
      </w:r>
    </w:p>
    <w:p w14:paraId="6D9F7D37" w14:textId="77777777" w:rsidR="00511A0C" w:rsidRDefault="00DF35E1">
      <w:pPr>
        <w:pStyle w:val="BodyText"/>
        <w:snapToGrid w:val="0"/>
        <w:spacing w:line="430" w:lineRule="exact"/>
        <w:ind w:firstLine="56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、单打领奖，凡获得各组单打比赛前八名的运动员，由运动员赛后持本人身份证到大会指定的位置领奖。</w:t>
      </w:r>
    </w:p>
    <w:p w14:paraId="1A93A7F0" w14:textId="77777777" w:rsidR="00511A0C" w:rsidRDefault="00DF35E1">
      <w:pPr>
        <w:pStyle w:val="BodyText"/>
        <w:snapToGrid w:val="0"/>
        <w:spacing w:line="430" w:lineRule="exact"/>
        <w:ind w:firstLine="560"/>
        <w:rPr>
          <w:rStyle w:val="1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lastRenderedPageBreak/>
        <w:t>3</w:t>
      </w:r>
      <w:r>
        <w:rPr>
          <w:rStyle w:val="1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、大会将不安排赛后颁奖仪式。</w:t>
      </w:r>
    </w:p>
    <w:p w14:paraId="2D9E5211" w14:textId="77777777" w:rsidR="00511A0C" w:rsidRDefault="00DF35E1">
      <w:pPr>
        <w:pStyle w:val="BodyText"/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、报名及报到：</w:t>
      </w:r>
    </w:p>
    <w:p w14:paraId="2DBF32A4" w14:textId="77777777" w:rsidR="00511A0C" w:rsidRDefault="00DF35E1">
      <w:pPr>
        <w:pStyle w:val="ListParagraph1"/>
        <w:numPr>
          <w:ilvl w:val="0"/>
          <w:numId w:val="4"/>
        </w:numPr>
        <w:snapToGrid w:val="0"/>
        <w:spacing w:line="430" w:lineRule="exact"/>
        <w:ind w:firstLineChars="0"/>
        <w:rPr>
          <w:rStyle w:val="15"/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报名</w:t>
      </w:r>
    </w:p>
    <w:p w14:paraId="1B06769A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各参赛单位于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6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日中午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12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00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前，关注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“广东乒协”微信服务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号（微信号：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gdtta1981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通过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菜单栏“比赛报名”在线报名。</w:t>
      </w:r>
    </w:p>
    <w:p w14:paraId="6200AE30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所有参赛人员需上传签字完成的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《自愿参赛免责责任书》（见附件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扫描件；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学校组的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参赛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单位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须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导出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在线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报名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表并加盖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学校公章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扫描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后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上传至报名系统，方为提交成功。</w:t>
      </w:r>
    </w:p>
    <w:p w14:paraId="4F2742C6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以单位报名的，由领队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教练统一填报、提交所有运动员信息。</w:t>
      </w:r>
    </w:p>
    <w:p w14:paraId="30398FE1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121212"/>
          <w:kern w:val="0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报名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截止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后进行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名单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公示，公示期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内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不可更换人员及撤销报名。如参赛信息有误，请于公示期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间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及时提出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公示结束后将不再进行任何形式的更改。参赛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单位须对本单位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运动员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参赛资格真实性负责，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因资格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问题产生</w:t>
      </w:r>
      <w:r>
        <w:rPr>
          <w:rStyle w:val="15"/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的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后果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由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参赛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单位</w:t>
      </w:r>
      <w:r>
        <w:rPr>
          <w:rStyle w:val="15"/>
          <w:rFonts w:ascii="仿宋_GB2312" w:eastAsia="仿宋_GB2312" w:hAnsi="仿宋_GB2312" w:cs="仿宋_GB2312" w:hint="eastAsia"/>
          <w:color w:val="121212"/>
          <w:kern w:val="0"/>
          <w:sz w:val="32"/>
          <w:szCs w:val="32"/>
        </w:rPr>
        <w:t>自行承担。</w:t>
      </w:r>
    </w:p>
    <w:p w14:paraId="2B517E6F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本次比赛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仅接受线上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报名，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不接受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电话、书面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等其他形式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报名。</w:t>
      </w:r>
    </w:p>
    <w:p w14:paraId="706C3E0A" w14:textId="77777777" w:rsidR="00511A0C" w:rsidRDefault="00DF35E1">
      <w:pPr>
        <w:pStyle w:val="ListParagraph1"/>
        <w:numPr>
          <w:ilvl w:val="0"/>
          <w:numId w:val="5"/>
        </w:numPr>
        <w:snapToGrid w:val="0"/>
        <w:spacing w:line="430" w:lineRule="exact"/>
        <w:ind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报名与缴费同步完成，审核通过后须在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截止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时间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在线缴纳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竞赛服务费，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缴费成功视为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报名成功。</w:t>
      </w:r>
    </w:p>
    <w:p w14:paraId="0394FE0C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（二）报到</w:t>
      </w:r>
    </w:p>
    <w:p w14:paraId="05E2C1F1" w14:textId="77777777" w:rsidR="00511A0C" w:rsidRDefault="00DF35E1">
      <w:pPr>
        <w:pStyle w:val="1"/>
        <w:snapToGrid w:val="0"/>
        <w:spacing w:line="430" w:lineRule="exact"/>
        <w:ind w:firstLine="640"/>
        <w:jc w:val="left"/>
        <w:rPr>
          <w:rStyle w:val="15"/>
          <w:rFonts w:ascii="仿宋_GB2312" w:eastAsia="仿宋_GB2312" w:hAnsi="仿宋_GB2312" w:cs="仿宋_GB2312"/>
          <w:color w:val="121212"/>
          <w:sz w:val="32"/>
          <w:szCs w:val="32"/>
          <w:highlight w:val="yellow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所有参赛单位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/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个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均须于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5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日上午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8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:2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0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前在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赛场报到处报到，领取运动员“人名布”，报到联系人：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丘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丽君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，联系电话：</w:t>
      </w:r>
      <w:r>
        <w:rPr>
          <w:rFonts w:ascii="仿宋" w:eastAsia="仿宋" w:hAnsi="仿宋" w:cs="仿宋" w:hint="eastAsia"/>
          <w:sz w:val="28"/>
          <w:szCs w:val="28"/>
        </w:rPr>
        <w:t>13699717204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。</w:t>
      </w:r>
    </w:p>
    <w:p w14:paraId="6736FB23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（三）退费说明</w:t>
      </w:r>
    </w:p>
    <w:p w14:paraId="434D5D95" w14:textId="77777777" w:rsidR="00511A0C" w:rsidRDefault="00DF35E1">
      <w:pPr>
        <w:numPr>
          <w:ilvl w:val="0"/>
          <w:numId w:val="6"/>
        </w:num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报名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缴费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成功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后，因参赛单位或运动员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个人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原因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弃赛、</w:t>
      </w:r>
    </w:p>
    <w:p w14:paraId="0A0BFE3D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被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取消参赛资格的，竞赛服务费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不予退还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。</w:t>
      </w:r>
    </w:p>
    <w:p w14:paraId="09252D3A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lastRenderedPageBreak/>
        <w:t xml:space="preserve">    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、因报名信息填写错误、错报证件号码导致无法参赛的，费用不予退还，责任自负。</w:t>
      </w:r>
    </w:p>
    <w:p w14:paraId="7244ACFC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五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、经费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说明</w:t>
      </w:r>
    </w:p>
    <w:p w14:paraId="4FAD321D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（一）竞赛服务费</w:t>
      </w:r>
    </w:p>
    <w:p w14:paraId="42685209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、参赛运动员需交竞赛服务费人民币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30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0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元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/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人。</w:t>
      </w:r>
    </w:p>
    <w:p w14:paraId="371FF265" w14:textId="77777777" w:rsidR="00511A0C" w:rsidRDefault="00DF35E1">
      <w:p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、竞赛服务费缴纳方式：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通过报名系统在线支付，支持借记卡、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微信零钱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，不支持信用卡支付。</w:t>
      </w:r>
    </w:p>
    <w:p w14:paraId="5FA2DF56" w14:textId="77777777" w:rsidR="00511A0C" w:rsidRDefault="00DF35E1">
      <w:p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票据开具：</w:t>
      </w:r>
    </w:p>
    <w:p w14:paraId="065ECD7F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以单位报名的，需统一一次性支付所有参赛队员的竞</w:t>
      </w:r>
    </w:p>
    <w:p w14:paraId="7DFE4026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赛服务费。</w:t>
      </w:r>
    </w:p>
    <w:p w14:paraId="1DEFE8CB" w14:textId="77777777" w:rsidR="00511A0C" w:rsidRDefault="00DF35E1">
      <w:p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）缴交竞赛服务费后，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系统会即时提示缴费成功。</w:t>
      </w:r>
    </w:p>
    <w:p w14:paraId="17C2784F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    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3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）需开具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发票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的单位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或个人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于赛事结束后三个工作日内，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将开票抬头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税号，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缴费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金额，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参赛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  <w:lang w:eastAsia="zh-Hans"/>
        </w:rPr>
        <w:t>人姓名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接收发票推送的邮箱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联系电话发送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至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协会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邮箱：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gdtta2022@163.com,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逾期不予办理。</w:t>
      </w:r>
    </w:p>
    <w:p w14:paraId="1A8E29E5" w14:textId="77777777" w:rsidR="00511A0C" w:rsidRDefault="00DF35E1">
      <w:pPr>
        <w:pStyle w:val="ListParagraph1"/>
        <w:snapToGrid w:val="0"/>
        <w:spacing w:line="430" w:lineRule="exact"/>
        <w:ind w:left="600" w:firstLineChars="0" w:firstLine="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（二）食宿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安排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：</w:t>
      </w:r>
    </w:p>
    <w:p w14:paraId="5AE9FCB3" w14:textId="77777777" w:rsidR="00511A0C" w:rsidRDefault="00DF35E1">
      <w:p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本次比赛大会不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统一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安排食宿，由各参赛队自行解决，大会推荐酒店如下：</w:t>
      </w:r>
    </w:p>
    <w:p w14:paraId="5D9035F1" w14:textId="77777777" w:rsidR="00511A0C" w:rsidRDefault="00DF35E1">
      <w:pPr>
        <w:pStyle w:val="a3"/>
        <w:spacing w:line="430" w:lineRule="exact"/>
        <w:ind w:right="88"/>
        <w:rPr>
          <w:spacing w:val="7"/>
        </w:rPr>
      </w:pPr>
      <w:r>
        <w:rPr>
          <w:rFonts w:hint="eastAsia"/>
          <w:spacing w:val="7"/>
        </w:rPr>
        <w:t>（</w:t>
      </w:r>
      <w:r>
        <w:rPr>
          <w:rFonts w:hint="eastAsia"/>
          <w:spacing w:val="7"/>
        </w:rPr>
        <w:t>1</w:t>
      </w:r>
      <w:r>
        <w:rPr>
          <w:rFonts w:hint="eastAsia"/>
          <w:spacing w:val="7"/>
        </w:rPr>
        <w:t>）酒店名称：南海嘉</w:t>
      </w:r>
      <w:proofErr w:type="gramStart"/>
      <w:r>
        <w:rPr>
          <w:rFonts w:hint="eastAsia"/>
          <w:spacing w:val="7"/>
        </w:rPr>
        <w:t>颐</w:t>
      </w:r>
      <w:proofErr w:type="gramEnd"/>
      <w:r>
        <w:rPr>
          <w:rFonts w:hint="eastAsia"/>
          <w:spacing w:val="7"/>
        </w:rPr>
        <w:t>国际酒店</w:t>
      </w:r>
    </w:p>
    <w:p w14:paraId="0072535E" w14:textId="77777777" w:rsidR="00511A0C" w:rsidRDefault="00DF35E1">
      <w:pPr>
        <w:pStyle w:val="a3"/>
        <w:spacing w:line="430" w:lineRule="exact"/>
        <w:ind w:right="88"/>
        <w:rPr>
          <w:spacing w:val="7"/>
        </w:rPr>
      </w:pPr>
      <w:r>
        <w:rPr>
          <w:rFonts w:hint="eastAsia"/>
          <w:spacing w:val="7"/>
        </w:rPr>
        <w:t>酒店地址：佛山市南海区狮山镇博爱中路</w:t>
      </w:r>
      <w:r>
        <w:rPr>
          <w:rFonts w:hint="eastAsia"/>
          <w:spacing w:val="7"/>
        </w:rPr>
        <w:t>55</w:t>
      </w:r>
      <w:r>
        <w:rPr>
          <w:rFonts w:hint="eastAsia"/>
          <w:spacing w:val="7"/>
        </w:rPr>
        <w:t>号</w:t>
      </w:r>
    </w:p>
    <w:p w14:paraId="3CF4F771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酒店电话：</w:t>
      </w:r>
      <w:r>
        <w:rPr>
          <w:rFonts w:hint="eastAsia"/>
          <w:spacing w:val="7"/>
        </w:rPr>
        <w:t>0757-86658887</w:t>
      </w:r>
    </w:p>
    <w:p w14:paraId="1CC59008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（</w:t>
      </w:r>
      <w:r>
        <w:rPr>
          <w:rFonts w:hint="eastAsia"/>
          <w:spacing w:val="7"/>
        </w:rPr>
        <w:t>2</w:t>
      </w:r>
      <w:r>
        <w:rPr>
          <w:rFonts w:hint="eastAsia"/>
          <w:spacing w:val="7"/>
        </w:rPr>
        <w:t>）酒店名称：佛山</w:t>
      </w:r>
      <w:proofErr w:type="gramStart"/>
      <w:r>
        <w:rPr>
          <w:rFonts w:hint="eastAsia"/>
          <w:spacing w:val="7"/>
        </w:rPr>
        <w:t>季枫国际</w:t>
      </w:r>
      <w:proofErr w:type="gramEnd"/>
      <w:r>
        <w:rPr>
          <w:rFonts w:hint="eastAsia"/>
          <w:spacing w:val="7"/>
        </w:rPr>
        <w:t>酒店</w:t>
      </w:r>
    </w:p>
    <w:p w14:paraId="62334A03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酒店地址：广东省佛山市南海区狮山镇狮城路</w:t>
      </w:r>
      <w:r>
        <w:rPr>
          <w:rFonts w:hint="eastAsia"/>
          <w:spacing w:val="7"/>
        </w:rPr>
        <w:t>22</w:t>
      </w:r>
      <w:r>
        <w:rPr>
          <w:rFonts w:hint="eastAsia"/>
          <w:spacing w:val="7"/>
        </w:rPr>
        <w:t>号</w:t>
      </w:r>
    </w:p>
    <w:p w14:paraId="64AB3D63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酒店电话：</w:t>
      </w:r>
      <w:r>
        <w:rPr>
          <w:rFonts w:hint="eastAsia"/>
          <w:spacing w:val="7"/>
        </w:rPr>
        <w:t>0757-86681688</w:t>
      </w:r>
    </w:p>
    <w:p w14:paraId="185EF92D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（</w:t>
      </w:r>
      <w:r>
        <w:rPr>
          <w:rFonts w:hint="eastAsia"/>
          <w:spacing w:val="7"/>
        </w:rPr>
        <w:t>3</w:t>
      </w:r>
      <w:r>
        <w:rPr>
          <w:rFonts w:hint="eastAsia"/>
          <w:spacing w:val="7"/>
        </w:rPr>
        <w:t>）酒店名称：城市便捷</w:t>
      </w:r>
      <w:r>
        <w:rPr>
          <w:rFonts w:hint="eastAsia"/>
          <w:spacing w:val="7"/>
        </w:rPr>
        <w:t>4.0</w:t>
      </w:r>
      <w:r>
        <w:rPr>
          <w:rFonts w:hint="eastAsia"/>
          <w:spacing w:val="7"/>
        </w:rPr>
        <w:t>（佛山西站狮山店）</w:t>
      </w:r>
    </w:p>
    <w:p w14:paraId="0E89F0A4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lastRenderedPageBreak/>
        <w:t>酒店地址：广东省佛山市南海区招大路</w:t>
      </w:r>
      <w:proofErr w:type="gramStart"/>
      <w:r>
        <w:rPr>
          <w:rFonts w:hint="eastAsia"/>
          <w:spacing w:val="7"/>
        </w:rPr>
        <w:t>12</w:t>
      </w:r>
      <w:r>
        <w:rPr>
          <w:rFonts w:hint="eastAsia"/>
          <w:spacing w:val="7"/>
        </w:rPr>
        <w:t>号汇品美食</w:t>
      </w:r>
      <w:proofErr w:type="gramEnd"/>
      <w:r>
        <w:rPr>
          <w:rFonts w:hint="eastAsia"/>
          <w:spacing w:val="7"/>
        </w:rPr>
        <w:t>广场</w:t>
      </w:r>
    </w:p>
    <w:p w14:paraId="5CE18D62" w14:textId="77777777" w:rsidR="00511A0C" w:rsidRDefault="00DF35E1">
      <w:pPr>
        <w:pStyle w:val="a3"/>
        <w:spacing w:line="430" w:lineRule="exact"/>
        <w:ind w:right="91"/>
        <w:rPr>
          <w:spacing w:val="7"/>
        </w:rPr>
      </w:pPr>
      <w:r>
        <w:rPr>
          <w:rFonts w:hint="eastAsia"/>
          <w:spacing w:val="7"/>
        </w:rPr>
        <w:t>酒店电话：</w:t>
      </w:r>
      <w:r>
        <w:rPr>
          <w:rFonts w:hint="eastAsia"/>
          <w:spacing w:val="7"/>
        </w:rPr>
        <w:t>0757-86691188</w:t>
      </w:r>
    </w:p>
    <w:p w14:paraId="53F9BF38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    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注：因节假日的缘故，请按需提前预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订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。</w:t>
      </w:r>
    </w:p>
    <w:p w14:paraId="2F29A049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六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、仲裁委员、裁判员：</w:t>
      </w:r>
    </w:p>
    <w:p w14:paraId="6AF6DB4C" w14:textId="77777777" w:rsidR="00511A0C" w:rsidRDefault="00DF35E1">
      <w:pPr>
        <w:pStyle w:val="ListParagraph1"/>
        <w:numPr>
          <w:ilvl w:val="0"/>
          <w:numId w:val="7"/>
        </w:numPr>
        <w:snapToGrid w:val="0"/>
        <w:spacing w:line="430" w:lineRule="exact"/>
        <w:ind w:firstLineChars="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仲裁、裁判长以及裁判员由主办单位统一选派。</w:t>
      </w:r>
    </w:p>
    <w:p w14:paraId="1B47D717" w14:textId="77777777" w:rsidR="00511A0C" w:rsidRDefault="00DF35E1">
      <w:pPr>
        <w:pStyle w:val="ListParagraph1"/>
        <w:numPr>
          <w:ilvl w:val="0"/>
          <w:numId w:val="7"/>
        </w:numPr>
        <w:snapToGrid w:val="0"/>
        <w:spacing w:line="430" w:lineRule="exact"/>
        <w:ind w:firstLineChars="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运动员比赛资格的申诉，组委会将根据竞赛规程中</w:t>
      </w:r>
    </w:p>
    <w:p w14:paraId="2E135729" w14:textId="77777777" w:rsidR="00511A0C" w:rsidRDefault="00DF35E1">
      <w:pPr>
        <w:snapToGrid w:val="0"/>
        <w:spacing w:line="430" w:lineRule="exact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的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《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运动员比赛资格申诉和仲裁的办法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》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进行裁决（见附件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）。</w:t>
      </w:r>
    </w:p>
    <w:p w14:paraId="37039683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七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、其他事宜：</w:t>
      </w:r>
    </w:p>
    <w:p w14:paraId="1FB1F888" w14:textId="77777777" w:rsidR="00511A0C" w:rsidRDefault="00DF35E1">
      <w:pPr>
        <w:snapToGrid w:val="0"/>
        <w:spacing w:line="430" w:lineRule="exact"/>
        <w:ind w:firstLineChars="200" w:firstLine="64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一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所有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参赛运动员须经县级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及以上医疗机构体检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，证明身体健康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适合参赛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；各参赛单位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及个人须自行购买比赛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期间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(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含往返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交通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)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的人身意外伤害保险。</w:t>
      </w:r>
    </w:p>
    <w:p w14:paraId="09984430" w14:textId="77777777" w:rsidR="00511A0C" w:rsidRDefault="00DF35E1">
      <w:pPr>
        <w:snapToGrid w:val="0"/>
        <w:spacing w:line="430" w:lineRule="exact"/>
        <w:ind w:firstLineChars="187" w:firstLine="598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）大会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统一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为参赛人员购买团体意外伤害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保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险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因个人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信息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填写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错误导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致理赔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失败的，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责任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由参赛单位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/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个人自行承担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，主办、承办、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支持、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协办单位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不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承担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任何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理赔责任。</w:t>
      </w:r>
    </w:p>
    <w:p w14:paraId="317CA38E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三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）咨询电话：</w:t>
      </w:r>
    </w:p>
    <w:p w14:paraId="159B4851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、主办单位：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020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—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87353807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或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17665402555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（陈小姐）</w:t>
      </w:r>
    </w:p>
    <w:p w14:paraId="01321B14" w14:textId="77777777" w:rsidR="00511A0C" w:rsidRDefault="00DF35E1">
      <w:pPr>
        <w:snapToGrid w:val="0"/>
        <w:spacing w:line="430" w:lineRule="exact"/>
        <w:ind w:left="600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  <w:highlight w:val="yellow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、承办单位：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13699717204</w:t>
      </w:r>
      <w:r>
        <w:rPr>
          <w:rStyle w:val="15"/>
          <w:rFonts w:ascii="仿宋_GB2312" w:eastAsia="仿宋_GB2312" w:hAnsi="仿宋_GB2312" w:cs="仿宋_GB2312" w:hint="eastAsia"/>
          <w:color w:val="121212"/>
          <w:sz w:val="32"/>
          <w:szCs w:val="32"/>
        </w:rPr>
        <w:t>（丘小姐）</w:t>
      </w:r>
    </w:p>
    <w:p w14:paraId="7A4584F6" w14:textId="77777777" w:rsidR="00511A0C" w:rsidRDefault="00DF35E1">
      <w:pPr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八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、本规程的最终解释权归主办单位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所有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。</w:t>
      </w:r>
    </w:p>
    <w:p w14:paraId="580AC222" w14:textId="77777777" w:rsidR="00511A0C" w:rsidRDefault="00DF35E1">
      <w:pPr>
        <w:snapToGrid w:val="0"/>
        <w:spacing w:line="430" w:lineRule="exact"/>
        <w:ind w:firstLineChars="200" w:firstLine="643"/>
        <w:rPr>
          <w:rStyle w:val="15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九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本规程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未尽事宜，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由主办单位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另行通知。</w:t>
      </w:r>
    </w:p>
    <w:p w14:paraId="2FC685F8" w14:textId="77777777" w:rsidR="00511A0C" w:rsidRDefault="00DF35E1">
      <w:pPr>
        <w:spacing w:line="430" w:lineRule="exact"/>
        <w:rPr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附件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1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121212"/>
          <w:sz w:val="28"/>
          <w:szCs w:val="28"/>
        </w:rPr>
        <w:t>第二十</w:t>
      </w:r>
      <w:r>
        <w:rPr>
          <w:rFonts w:ascii="仿宋_GB2312" w:eastAsia="仿宋_GB2312" w:hAnsi="仿宋_GB2312" w:cs="仿宋_GB2312" w:hint="eastAsia"/>
          <w:color w:val="121212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color w:val="121212"/>
          <w:sz w:val="28"/>
          <w:szCs w:val="28"/>
        </w:rPr>
        <w:t>届广东省“双鱼”乒协杯少儿乒乓球赛自愿参赛免责责任书</w:t>
      </w:r>
    </w:p>
    <w:p w14:paraId="6E0E38FB" w14:textId="77777777" w:rsidR="00511A0C" w:rsidRDefault="00DF35E1">
      <w:pPr>
        <w:spacing w:line="430" w:lineRule="exact"/>
        <w:rPr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附件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2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121212"/>
          <w:sz w:val="28"/>
          <w:szCs w:val="28"/>
        </w:rPr>
        <w:t>运动员比赛资格申诉和仲裁的办法</w:t>
      </w:r>
    </w:p>
    <w:p w14:paraId="32ACF6BC" w14:textId="77777777" w:rsidR="00511A0C" w:rsidRDefault="00511A0C">
      <w:pPr>
        <w:spacing w:line="430" w:lineRule="exact"/>
        <w:rPr>
          <w:rFonts w:ascii="仿宋_GB2312" w:eastAsia="仿宋_GB2312" w:hAnsi="仿宋_GB2312" w:cs="仿宋_GB2312"/>
          <w:color w:val="121212"/>
          <w:sz w:val="28"/>
          <w:szCs w:val="28"/>
        </w:rPr>
      </w:pPr>
    </w:p>
    <w:p w14:paraId="30826663" w14:textId="77777777" w:rsidR="00511A0C" w:rsidRDefault="00DF35E1">
      <w:pPr>
        <w:snapToGrid w:val="0"/>
        <w:spacing w:line="430" w:lineRule="exact"/>
        <w:jc w:val="center"/>
        <w:rPr>
          <w:sz w:val="30"/>
          <w:szCs w:val="30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 xml:space="preserve">                               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广东省乒乓球协会</w:t>
      </w:r>
    </w:p>
    <w:p w14:paraId="159EA083" w14:textId="77777777" w:rsidR="00511A0C" w:rsidRDefault="00DF35E1">
      <w:pPr>
        <w:spacing w:line="31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14:paraId="01806C14" w14:textId="77777777" w:rsidR="00511A0C" w:rsidRDefault="00DF35E1">
      <w:pPr>
        <w:snapToGrid w:val="0"/>
        <w:spacing w:line="310" w:lineRule="exact"/>
        <w:ind w:firstLineChars="200" w:firstLine="643"/>
        <w:jc w:val="center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lastRenderedPageBreak/>
        <w:t>广东省第二十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五</w:t>
      </w: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届“双鱼”乒协杯少儿乒乓球赛</w:t>
      </w:r>
    </w:p>
    <w:p w14:paraId="36BEEE5E" w14:textId="77777777" w:rsidR="00511A0C" w:rsidRDefault="00DF35E1">
      <w:pPr>
        <w:snapToGrid w:val="0"/>
        <w:spacing w:line="310" w:lineRule="exact"/>
        <w:ind w:firstLineChars="200" w:firstLine="643"/>
        <w:jc w:val="center"/>
        <w:rPr>
          <w:rStyle w:val="15"/>
          <w:rFonts w:ascii="仿宋_GB2312" w:eastAsia="仿宋_GB2312" w:hAnsi="仿宋_GB2312" w:cs="仿宋_GB2312"/>
          <w:b/>
          <w:bCs/>
          <w:color w:val="121212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t>自愿参赛免责责任书</w:t>
      </w:r>
    </w:p>
    <w:p w14:paraId="55CB6158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一、本人了解参加赛事需要具备相当的身体条件。本人声明，本人健康状况良好，具备参赛的身体条件，并为赛事进行了充分的训练。</w:t>
      </w:r>
    </w:p>
    <w:p w14:paraId="76624010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二、本人了解在我参赛时，没有可能造成自己受伤或者死亡的任何疾病（包括先天性心脏病、风湿性心脏病、高血压、脑血管疾病、心肌炎、其他心脏病、冠状动脉病、严重心律不齐、血糖过高或过低的糖尿病、以及其他不适合相关运动的疾病）、身体损伤或者任何其他身体残疾。</w:t>
      </w:r>
    </w:p>
    <w:p w14:paraId="32409083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三、本人证明，我在身体上和精神上都具有参加赛事的能力，并对赛事中可能出现的风险已经采取了适当的措施，可以正常参加本项赛事。</w:t>
      </w:r>
    </w:p>
    <w:p w14:paraId="71F4BE3D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四、本人愿意遵守本次赛事的所有规则规定，如果本人知道自己在赛事之前或者期间患病或者受伤，或者发现、注意到任何影响自己参赛的风险，将会退出赛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事。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55332365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五、本人承认并了解，当我参加赛事时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:</w:t>
      </w:r>
    </w:p>
    <w:p w14:paraId="25E1AFA3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（一）我可能会遭受身体上的或者精神上的伤害，或者可能由于各种原因死亡，包括但是不限于过度劳累、脱水、心搏停止、其他参赛者、观众和公路使用者造成的事故、或者由于我自己的行为造成的事故；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5E1BC0CD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（二）我的</w:t>
      </w:r>
      <w:proofErr w:type="gramStart"/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个</w:t>
      </w:r>
      <w:proofErr w:type="gramEnd"/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人财物可能会丢失或者被损坏；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69C06857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（三）我可能给其他人造成伤害或者损坏他们的财物；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156FB2B7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　　（四）进行赛事的条件可能没有警告就发生变化；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7927D98A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（五）我可能处于遥远或者孤立的环境中，在这样的环境中，获得医药支持可能受到限制，并且需要大量时间才能找到我。如果我受伤了，可能没有或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者缺乏足够的治疗设施或者运输设施；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</w:t>
      </w:r>
    </w:p>
    <w:p w14:paraId="08D172C8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（六）我对由于参加赛事而发生的任何损伤、死亡或者财产损害承担责任和风险。</w:t>
      </w:r>
    </w:p>
    <w:p w14:paraId="662D08A5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六、本人同意接受主办方在比赛期间提供的现场急救性质的医务治疗，但在医院救治等发生的相关费用由本人承担。</w:t>
      </w:r>
    </w:p>
    <w:p w14:paraId="68B17F4D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七、本人以及本人亲属、代理人将放弃追究所有非主办方故意或重大过失导致的伤残、损失或死亡的权利。八、本人已认真阅读并全面理解以上内容，并对上述所有内容予以确认并承担相应的法律责任，此责任书由本人自愿签署。</w:t>
      </w:r>
    </w:p>
    <w:p w14:paraId="7C6D933F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参赛者（签名）：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               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身份证号：</w:t>
      </w:r>
    </w:p>
    <w:p w14:paraId="12B6D5C5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监护人（签名）：</w:t>
      </w:r>
    </w:p>
    <w:p w14:paraId="0B33A00A" w14:textId="77777777" w:rsidR="00511A0C" w:rsidRDefault="00DF35E1">
      <w:pPr>
        <w:snapToGrid w:val="0"/>
        <w:spacing w:line="310" w:lineRule="exact"/>
        <w:rPr>
          <w:rStyle w:val="15"/>
          <w:rFonts w:ascii="仿宋_GB2312" w:eastAsia="仿宋_GB2312" w:hAnsi="仿宋_GB2312" w:cs="仿宋_GB2312"/>
          <w:color w:val="121212"/>
          <w:sz w:val="28"/>
          <w:szCs w:val="28"/>
        </w:rPr>
      </w:pP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日期：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202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6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年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   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月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 xml:space="preserve">   </w:t>
      </w:r>
      <w:r>
        <w:rPr>
          <w:rStyle w:val="15"/>
          <w:rFonts w:ascii="仿宋_GB2312" w:eastAsia="仿宋_GB2312" w:hAnsi="仿宋_GB2312" w:cs="仿宋_GB2312" w:hint="eastAsia"/>
          <w:color w:val="121212"/>
          <w:sz w:val="28"/>
          <w:szCs w:val="28"/>
        </w:rPr>
        <w:t>日</w:t>
      </w:r>
    </w:p>
    <w:p w14:paraId="568F5F52" w14:textId="77777777" w:rsidR="00511A0C" w:rsidRDefault="00DF35E1">
      <w:pPr>
        <w:spacing w:line="300" w:lineRule="exact"/>
        <w:rPr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14:paraId="5548B5C3" w14:textId="77777777" w:rsidR="00511A0C" w:rsidRDefault="00DF35E1">
      <w:pPr>
        <w:snapToGrid w:val="0"/>
        <w:spacing w:line="310" w:lineRule="exact"/>
        <w:ind w:firstLineChars="200" w:firstLine="643"/>
        <w:jc w:val="center"/>
        <w:rPr>
          <w:rFonts w:ascii="微软雅黑" w:eastAsia="微软雅黑"/>
          <w:bCs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b/>
          <w:bCs/>
          <w:color w:val="121212"/>
          <w:sz w:val="32"/>
          <w:szCs w:val="32"/>
        </w:rPr>
        <w:lastRenderedPageBreak/>
        <w:t>运动员比赛资格申诉和仲裁的办法</w:t>
      </w:r>
    </w:p>
    <w:p w14:paraId="6171E609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一、申诉方必须要在当场比赛开赛前（即团体比赛在双方递交出阵名单后，第一场比赛出场前；单打比赛在比赛检录前。），凭参赛运动员身份证原件等《竞赛规程》要求携带的原件到仲裁委员会递交《申诉书》，提供有力证据，并交纳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800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元的申诉费（注：申诉方必须是本次比赛《秩序册》上该参赛单位的领队或教练员，团体为联队的可按原代表单位。）。</w:t>
      </w:r>
    </w:p>
    <w:p w14:paraId="6992CC32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二、仲裁委员会根据申诉方的申诉，在开赛前认真检查申诉方和被诉方的有效档，并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作出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公正裁决。</w:t>
      </w:r>
    </w:p>
    <w:p w14:paraId="3FB08DB4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三、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申诉方胜诉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（即被诉方运动员出现以下情况：身份证原件不能读取资料、冒名顶替、虚报年龄、超出参赛资格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户籍范围、在仲裁委员会规定时间内未能提供有效证件、或团体赛上场的三名运动员在第一场开赛前仍未同时到场检录的。），仲裁委员会退还申诉方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800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元申诉费，取消被诉方运动员参赛资格（取消参赛资格方赛会不予退还食宿费及竞赛服务费），并宣布当场比赛申诉方获胜。</w:t>
      </w:r>
    </w:p>
    <w:p w14:paraId="73390FAC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四、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申诉方败诉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（即被诉方运动员能提供有效证件，并符合该组参赛年龄等参赛规定。），仲裁委员会将不予退还申诉方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800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元申诉费，不服从仲裁委员会裁决的一方，在宣布该场比赛开始后（五分钟内），仍拒绝出场比赛的一方，按弃权处理（弃权方赛会不予退还食宿费及竞赛服务费）。</w:t>
      </w:r>
    </w:p>
    <w:p w14:paraId="6F1B3F27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五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、仲裁委员会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不予受理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的申诉：</w:t>
      </w:r>
    </w:p>
    <w:p w14:paraId="0352BD2C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（一）当场比赛已结束的。</w:t>
      </w:r>
    </w:p>
    <w:p w14:paraId="182FFA28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（二）当场比赛已经开始但未有结束的。</w:t>
      </w:r>
    </w:p>
    <w:p w14:paraId="039C9AB7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（三）不是当场比赛的双方运动员（即不受理第三方申诉）。</w:t>
      </w:r>
    </w:p>
    <w:p w14:paraId="29E82238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六、对于出现不符合参赛资格运动员时，其团体和单打赛果和成绩的处理办法：</w:t>
      </w:r>
    </w:p>
    <w:p w14:paraId="4975799D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（一）赛果和成绩的处理：</w:t>
      </w:r>
    </w:p>
    <w:p w14:paraId="3AC74983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第一阶段比赛发现的，取消其之前的赛果和后续比赛的参赛资格。</w:t>
      </w:r>
    </w:p>
    <w:p w14:paraId="0A5BF964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第二阶段（在未进入前八名）比赛发现的，视其之前全部比赛的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赛果有效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（包括小组赛和淘汰赛的赛果），取消其后续比赛的参赛资格。</w:t>
      </w:r>
    </w:p>
    <w:p w14:paraId="057B19CB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进入前八名后（或进入获奖范围）发现的，视其之前全部比赛的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赛果有效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，取消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其后续比赛的参赛资格，不录取其名次。</w:t>
      </w:r>
    </w:p>
    <w:p w14:paraId="5E993784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（二）出现违规运动员的一方，若希望继续比赛，在征得对方教练员和裁判员同意的前提下，必须先在《比分登记表》上的负方处由教练员签名承认弃权后，才能进行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友谊比赛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，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其赛果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仍为违规方弃权。</w:t>
      </w:r>
    </w:p>
    <w:p w14:paraId="36F3BAB0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七、当比赛双方的参赛资格均出现不符合赛事规定时，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仲裁组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按双方弃权处理。</w:t>
      </w:r>
    </w:p>
    <w:p w14:paraId="3F4DD5D1" w14:textId="77777777" w:rsidR="00511A0C" w:rsidRDefault="00DF35E1">
      <w:pPr>
        <w:spacing w:line="30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八、本《办法》的最终解释权归本次赛事仲裁组。</w:t>
      </w:r>
    </w:p>
    <w:sectPr w:rsidR="00511A0C">
      <w:pgSz w:w="11906" w:h="16838"/>
      <w:pgMar w:top="1440" w:right="123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7B7F" w14:textId="77777777" w:rsidR="00DF35E1" w:rsidRDefault="00DF35E1">
      <w:pPr>
        <w:spacing w:line="240" w:lineRule="auto"/>
      </w:pPr>
      <w:r>
        <w:separator/>
      </w:r>
    </w:p>
  </w:endnote>
  <w:endnote w:type="continuationSeparator" w:id="0">
    <w:p w14:paraId="27D4E414" w14:textId="77777777" w:rsidR="00DF35E1" w:rsidRDefault="00DF3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C1B4001-C303-4568-9ABA-6D0ABF633CF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4353AB0-0C14-4F2E-B591-E2A82FC5FB2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A3CC05C1-C870-4813-893E-E42099CFBE3A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4" w:subsetted="1" w:fontKey="{67939E68-D9C0-4D77-8DC6-F1772DFF1133}"/>
    <w:embedBold r:id="rId5" w:subsetted="1" w:fontKey="{9267EDE4-164D-41D9-A66E-A40BBE9C3F26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67009204-FD32-4DE4-971E-3D9BBBB9DE0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22F2" w14:textId="77777777" w:rsidR="00DF35E1" w:rsidRDefault="00DF35E1">
      <w:pPr>
        <w:spacing w:after="0"/>
      </w:pPr>
      <w:r>
        <w:separator/>
      </w:r>
    </w:p>
  </w:footnote>
  <w:footnote w:type="continuationSeparator" w:id="0">
    <w:p w14:paraId="448ECB18" w14:textId="77777777" w:rsidR="00DF35E1" w:rsidRDefault="00DF35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79CD1"/>
    <w:multiLevelType w:val="singleLevel"/>
    <w:tmpl w:val="91679CD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668C387"/>
    <w:multiLevelType w:val="singleLevel"/>
    <w:tmpl w:val="A668C3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AC1ACA0"/>
    <w:multiLevelType w:val="singleLevel"/>
    <w:tmpl w:val="4AC1ACA0"/>
    <w:lvl w:ilvl="0">
      <w:start w:val="5"/>
      <w:numFmt w:val="decimal"/>
      <w:suff w:val="space"/>
      <w:lvlText w:val="%1、"/>
      <w:lvlJc w:val="left"/>
    </w:lvl>
  </w:abstractNum>
  <w:abstractNum w:abstractNumId="3" w15:restartNumberingAfterBreak="0">
    <w:nsid w:val="60EA3D50"/>
    <w:multiLevelType w:val="singleLevel"/>
    <w:tmpl w:val="60EA3D50"/>
    <w:lvl w:ilvl="0">
      <w:start w:val="4"/>
      <w:numFmt w:val="decimal"/>
      <w:suff w:val="space"/>
      <w:lvlText w:val="%1、"/>
      <w:lvlJc w:val="left"/>
    </w:lvl>
  </w:abstractNum>
  <w:abstractNum w:abstractNumId="4" w15:restartNumberingAfterBreak="0">
    <w:nsid w:val="67ECE091"/>
    <w:multiLevelType w:val="multilevel"/>
    <w:tmpl w:val="67ECE091"/>
    <w:lvl w:ilvl="0">
      <w:start w:val="1"/>
      <w:numFmt w:val="japaneseCounting"/>
      <w:lvlText w:val="（%1）"/>
      <w:lvlJc w:val="left"/>
      <w:pPr>
        <w:ind w:left="1680" w:hanging="10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ECE0A7"/>
    <w:multiLevelType w:val="multilevel"/>
    <w:tmpl w:val="67ECE0A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7ECE0D3"/>
    <w:multiLevelType w:val="multilevel"/>
    <w:tmpl w:val="67ECE0D3"/>
    <w:lvl w:ilvl="0">
      <w:start w:val="1"/>
      <w:numFmt w:val="japaneseCounting"/>
      <w:lvlText w:val="（%1）"/>
      <w:lvlJc w:val="left"/>
      <w:pPr>
        <w:ind w:left="1680" w:hanging="10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8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2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1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560" w:hanging="44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0C"/>
    <w:rsid w:val="00511A0C"/>
    <w:rsid w:val="007F7FCA"/>
    <w:rsid w:val="00B06E28"/>
    <w:rsid w:val="00DF35E1"/>
    <w:rsid w:val="01161381"/>
    <w:rsid w:val="014063FE"/>
    <w:rsid w:val="032558AB"/>
    <w:rsid w:val="03836A76"/>
    <w:rsid w:val="03A2514E"/>
    <w:rsid w:val="0530678A"/>
    <w:rsid w:val="0551430E"/>
    <w:rsid w:val="055E6E53"/>
    <w:rsid w:val="05886C0F"/>
    <w:rsid w:val="06383B48"/>
    <w:rsid w:val="065D535C"/>
    <w:rsid w:val="06D74DCF"/>
    <w:rsid w:val="072B7208"/>
    <w:rsid w:val="088E7A4F"/>
    <w:rsid w:val="08BC0A60"/>
    <w:rsid w:val="08F8136C"/>
    <w:rsid w:val="09025849"/>
    <w:rsid w:val="0946583B"/>
    <w:rsid w:val="09A3621C"/>
    <w:rsid w:val="0A3729F1"/>
    <w:rsid w:val="0A530F50"/>
    <w:rsid w:val="0C152235"/>
    <w:rsid w:val="0C7A0662"/>
    <w:rsid w:val="0EA345B7"/>
    <w:rsid w:val="0F4C1AAB"/>
    <w:rsid w:val="127A60D3"/>
    <w:rsid w:val="13877EBC"/>
    <w:rsid w:val="13E353AF"/>
    <w:rsid w:val="13E83697"/>
    <w:rsid w:val="14C259A6"/>
    <w:rsid w:val="14FB2910"/>
    <w:rsid w:val="15003A82"/>
    <w:rsid w:val="15CC1BB7"/>
    <w:rsid w:val="16CB4564"/>
    <w:rsid w:val="18326CA3"/>
    <w:rsid w:val="18A92683"/>
    <w:rsid w:val="18B87C60"/>
    <w:rsid w:val="18D94D16"/>
    <w:rsid w:val="1B972C67"/>
    <w:rsid w:val="1BA809D0"/>
    <w:rsid w:val="1F464788"/>
    <w:rsid w:val="210B3EDB"/>
    <w:rsid w:val="21A76788"/>
    <w:rsid w:val="22221634"/>
    <w:rsid w:val="24601325"/>
    <w:rsid w:val="254646D3"/>
    <w:rsid w:val="25DC4098"/>
    <w:rsid w:val="2645717A"/>
    <w:rsid w:val="274C129A"/>
    <w:rsid w:val="277D1809"/>
    <w:rsid w:val="28620159"/>
    <w:rsid w:val="28C9248A"/>
    <w:rsid w:val="28EC45F2"/>
    <w:rsid w:val="2B297FFF"/>
    <w:rsid w:val="2B612949"/>
    <w:rsid w:val="2BCC24B9"/>
    <w:rsid w:val="2BCC2D4B"/>
    <w:rsid w:val="2C597B21"/>
    <w:rsid w:val="2C7C1D57"/>
    <w:rsid w:val="2DF6381D"/>
    <w:rsid w:val="3082324D"/>
    <w:rsid w:val="32BB438D"/>
    <w:rsid w:val="330469DC"/>
    <w:rsid w:val="334D0383"/>
    <w:rsid w:val="348B2EF0"/>
    <w:rsid w:val="34AC732B"/>
    <w:rsid w:val="34B17707"/>
    <w:rsid w:val="34D643A8"/>
    <w:rsid w:val="357A3236"/>
    <w:rsid w:val="36E33D11"/>
    <w:rsid w:val="394F0285"/>
    <w:rsid w:val="39D23390"/>
    <w:rsid w:val="3B42274E"/>
    <w:rsid w:val="3B934DA1"/>
    <w:rsid w:val="3C7E0AC4"/>
    <w:rsid w:val="3CCB2319"/>
    <w:rsid w:val="3EFE69D5"/>
    <w:rsid w:val="3FAA419A"/>
    <w:rsid w:val="405D772B"/>
    <w:rsid w:val="423B584A"/>
    <w:rsid w:val="43AC0714"/>
    <w:rsid w:val="43BD0C0D"/>
    <w:rsid w:val="447C58B6"/>
    <w:rsid w:val="44D50A8C"/>
    <w:rsid w:val="44FC39B7"/>
    <w:rsid w:val="45062140"/>
    <w:rsid w:val="465F41FD"/>
    <w:rsid w:val="46B02CAB"/>
    <w:rsid w:val="46ED53B0"/>
    <w:rsid w:val="47575155"/>
    <w:rsid w:val="485D476D"/>
    <w:rsid w:val="48DF33D4"/>
    <w:rsid w:val="49863D09"/>
    <w:rsid w:val="4988515D"/>
    <w:rsid w:val="49B418E0"/>
    <w:rsid w:val="4D0437FE"/>
    <w:rsid w:val="4E606D65"/>
    <w:rsid w:val="4EA015F8"/>
    <w:rsid w:val="4ECA26D8"/>
    <w:rsid w:val="502927D3"/>
    <w:rsid w:val="508F3931"/>
    <w:rsid w:val="51750D79"/>
    <w:rsid w:val="520143BB"/>
    <w:rsid w:val="547A48F8"/>
    <w:rsid w:val="54A35BFD"/>
    <w:rsid w:val="595219A0"/>
    <w:rsid w:val="5AC768DA"/>
    <w:rsid w:val="5AEA52F7"/>
    <w:rsid w:val="5BA142A2"/>
    <w:rsid w:val="5BD60666"/>
    <w:rsid w:val="5BF563F1"/>
    <w:rsid w:val="5C0A26F2"/>
    <w:rsid w:val="5C7D0B6C"/>
    <w:rsid w:val="5CB309A7"/>
    <w:rsid w:val="5D632120"/>
    <w:rsid w:val="5E227B93"/>
    <w:rsid w:val="5E975130"/>
    <w:rsid w:val="5F723A40"/>
    <w:rsid w:val="5F84304D"/>
    <w:rsid w:val="60076625"/>
    <w:rsid w:val="605848D8"/>
    <w:rsid w:val="6171096B"/>
    <w:rsid w:val="621F1FBE"/>
    <w:rsid w:val="62440D4D"/>
    <w:rsid w:val="64540CC2"/>
    <w:rsid w:val="64607F26"/>
    <w:rsid w:val="65F00576"/>
    <w:rsid w:val="66AE7E43"/>
    <w:rsid w:val="672E75A8"/>
    <w:rsid w:val="67BA0E3C"/>
    <w:rsid w:val="67D87514"/>
    <w:rsid w:val="69A91168"/>
    <w:rsid w:val="69DD7064"/>
    <w:rsid w:val="6B3709F5"/>
    <w:rsid w:val="6C0E1756"/>
    <w:rsid w:val="6C621993"/>
    <w:rsid w:val="6CAE69CD"/>
    <w:rsid w:val="6CC928F7"/>
    <w:rsid w:val="6D371181"/>
    <w:rsid w:val="6D5D4152"/>
    <w:rsid w:val="70DD5B9B"/>
    <w:rsid w:val="70F13E72"/>
    <w:rsid w:val="711B3EE9"/>
    <w:rsid w:val="712A2F9D"/>
    <w:rsid w:val="714025F2"/>
    <w:rsid w:val="71E82303"/>
    <w:rsid w:val="728910D4"/>
    <w:rsid w:val="729D124B"/>
    <w:rsid w:val="73E01C2A"/>
    <w:rsid w:val="740578E3"/>
    <w:rsid w:val="742C4E6F"/>
    <w:rsid w:val="745D0726"/>
    <w:rsid w:val="74AF3F46"/>
    <w:rsid w:val="74B856E6"/>
    <w:rsid w:val="76A21419"/>
    <w:rsid w:val="776B7FDC"/>
    <w:rsid w:val="77CD24AB"/>
    <w:rsid w:val="782A7918"/>
    <w:rsid w:val="79295E21"/>
    <w:rsid w:val="79FF06C1"/>
    <w:rsid w:val="7A0B19CB"/>
    <w:rsid w:val="7A1F0FD2"/>
    <w:rsid w:val="7BE91898"/>
    <w:rsid w:val="7CEC7892"/>
    <w:rsid w:val="7E7933A7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57B8BB"/>
  <w15:docId w15:val="{2A06177E-3D40-44AE-A6C7-A162BC59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  <w:jc w:val="both"/>
      <w:textAlignment w:val="baseline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BodyText">
    <w:name w:val="BodyText"/>
    <w:basedOn w:val="a"/>
    <w:qFormat/>
    <w:rPr>
      <w:b/>
      <w:bCs/>
      <w:kern w:val="0"/>
      <w:sz w:val="44"/>
      <w:szCs w:val="44"/>
    </w:rPr>
  </w:style>
  <w:style w:type="paragraph" w:customStyle="1" w:styleId="ListParagraph1">
    <w:name w:val="List Paragraph1"/>
    <w:basedOn w:val="a"/>
    <w:semiHidden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2">
    <w:name w:val="列表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tta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聪 韦</cp:lastModifiedBy>
  <cp:revision>3</cp:revision>
  <dcterms:created xsi:type="dcterms:W3CDTF">2025-04-02T11:09:00Z</dcterms:created>
  <dcterms:modified xsi:type="dcterms:W3CDTF">2026-04-01T08:27:00Z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F4815217F2494196B1AB8542B0C9BB72_13</vt:lpwstr>
  </property>
  <property fmtid="{D5CDD505-2E9C-101B-9397-08002B2CF9AE}" pid="4" name="KSOTemplateDocerSaveRecord">
    <vt:lpwstr>eyJoZGlkIjoiMzk4OTgwYzQxMTk4ODdkOWQ5MTQ2NzhmNzFkMzVmNjQiLCJ1c2VySWQiOiIyMTI4ODIxMDEifQ==</vt:lpwstr>
  </property>
</Properties>
</file>